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5648A" w:rsidR="000C42C1" w:rsidP="00762BA3" w:rsidRDefault="000C42C1" w14:paraId="1345AE5C" w14:textId="77777777">
      <w:pPr>
        <w:jc w:val="right"/>
        <w:rPr>
          <w:rFonts w:ascii="Barlow" w:hAnsi="Barlow"/>
          <w:sz w:val="22"/>
          <w:szCs w:val="22"/>
        </w:rPr>
      </w:pPr>
    </w:p>
    <w:p w:rsidR="00663974" w:rsidP="00663974" w:rsidRDefault="00663974" w14:paraId="4633A321" w14:textId="77777777">
      <w:pPr>
        <w:spacing w:after="0"/>
        <w:rPr>
          <w:rFonts w:cstheme="minorHAnsi"/>
          <w:b/>
          <w:sz w:val="32"/>
          <w:szCs w:val="32"/>
          <w:lang w:val="en-US"/>
        </w:rPr>
      </w:pPr>
      <w:r w:rsidRPr="000E59AD">
        <w:rPr>
          <w:rFonts w:cstheme="minorHAnsi"/>
          <w:b/>
          <w:sz w:val="32"/>
          <w:szCs w:val="32"/>
          <w:lang w:val="en-US"/>
        </w:rPr>
        <w:t>PRESS RELEASE</w:t>
      </w:r>
    </w:p>
    <w:p w:rsidRPr="00617B0F" w:rsidR="00663974" w:rsidP="00663974" w:rsidRDefault="00663974" w14:paraId="6BF5EDEB" w14:textId="7F0C84D1">
      <w:pPr>
        <w:spacing w:after="0"/>
        <w:rPr>
          <w:rFonts w:cstheme="minorHAnsi"/>
          <w:sz w:val="32"/>
          <w:szCs w:val="32"/>
          <w:lang w:val="en-US"/>
        </w:rPr>
      </w:pPr>
      <w:r w:rsidRPr="00617B0F">
        <w:rPr>
          <w:rFonts w:cstheme="minorHAnsi"/>
          <w:lang w:val="en-US"/>
        </w:rPr>
        <w:t>August 2024</w:t>
      </w:r>
    </w:p>
    <w:p w:rsidRPr="00EA0A65" w:rsidR="00617B0F" w:rsidP="00663974" w:rsidRDefault="00617B0F" w14:paraId="0715CB04" w14:textId="77777777">
      <w:pPr>
        <w:jc w:val="both"/>
        <w:rPr>
          <w:rFonts w:ascii="Barlow" w:hAnsi="Barlow" w:cs="Calibri"/>
          <w:sz w:val="22"/>
          <w:szCs w:val="22"/>
          <w:lang w:val="en-US"/>
        </w:rPr>
      </w:pPr>
    </w:p>
    <w:p w:rsidRPr="002E4B2C" w:rsidR="002E4B2C" w:rsidP="00663974" w:rsidRDefault="006612C7" w14:paraId="499FA286" w14:textId="4C085BBB">
      <w:pPr>
        <w:jc w:val="both"/>
        <w:rPr>
          <w:rFonts w:cstheme="minorHAnsi"/>
          <w:b/>
          <w:lang w:val="en-US"/>
        </w:rPr>
      </w:pPr>
      <w:proofErr w:type="spellStart"/>
      <w:r w:rsidRPr="000E59AD">
        <w:rPr>
          <w:rFonts w:cstheme="minorHAnsi"/>
          <w:b/>
          <w:lang w:val="en-US"/>
        </w:rPr>
        <w:t>AlphaMundi</w:t>
      </w:r>
      <w:proofErr w:type="spellEnd"/>
      <w:r w:rsidRPr="000E59AD">
        <w:rPr>
          <w:rFonts w:cstheme="minorHAnsi"/>
          <w:b/>
          <w:lang w:val="en-US"/>
        </w:rPr>
        <w:t xml:space="preserve"> Group </w:t>
      </w:r>
      <w:r w:rsidR="00C80672">
        <w:rPr>
          <w:rFonts w:cstheme="minorHAnsi"/>
          <w:b/>
          <w:lang w:val="en-US"/>
        </w:rPr>
        <w:t>a</w:t>
      </w:r>
      <w:r w:rsidRPr="000E59AD">
        <w:rPr>
          <w:rFonts w:cstheme="minorHAnsi"/>
          <w:b/>
          <w:lang w:val="en-US"/>
        </w:rPr>
        <w:t xml:space="preserve">nnounces </w:t>
      </w:r>
      <w:r w:rsidR="00EB5CBA">
        <w:rPr>
          <w:rFonts w:cstheme="minorHAnsi"/>
          <w:b/>
          <w:lang w:val="en-US"/>
        </w:rPr>
        <w:t xml:space="preserve">debt </w:t>
      </w:r>
      <w:r w:rsidR="00C80672">
        <w:rPr>
          <w:rFonts w:cstheme="minorHAnsi"/>
          <w:b/>
          <w:lang w:val="en-US"/>
        </w:rPr>
        <w:t>i</w:t>
      </w:r>
      <w:r w:rsidRPr="000E59AD">
        <w:rPr>
          <w:rFonts w:cstheme="minorHAnsi"/>
          <w:b/>
          <w:lang w:val="en-US"/>
        </w:rPr>
        <w:t xml:space="preserve">nvestment in </w:t>
      </w:r>
      <w:r>
        <w:rPr>
          <w:rFonts w:cstheme="minorHAnsi"/>
          <w:b/>
          <w:lang w:val="en-US"/>
        </w:rPr>
        <w:t>Finaktiva</w:t>
      </w:r>
      <w:r w:rsidR="00EB5CBA">
        <w:rPr>
          <w:rFonts w:cstheme="minorHAnsi"/>
          <w:b/>
          <w:lang w:val="en-US"/>
        </w:rPr>
        <w:t>, a</w:t>
      </w:r>
      <w:r>
        <w:rPr>
          <w:rFonts w:cstheme="minorHAnsi"/>
          <w:b/>
          <w:lang w:val="en-US"/>
        </w:rPr>
        <w:t xml:space="preserve"> Fintech </w:t>
      </w:r>
      <w:r w:rsidR="00A92FC6">
        <w:rPr>
          <w:rFonts w:cstheme="minorHAnsi"/>
          <w:b/>
          <w:lang w:val="en-US"/>
        </w:rPr>
        <w:t>c</w:t>
      </w:r>
      <w:r>
        <w:rPr>
          <w:rFonts w:cstheme="minorHAnsi"/>
          <w:b/>
          <w:lang w:val="en-US"/>
        </w:rPr>
        <w:t xml:space="preserve">ompany </w:t>
      </w:r>
      <w:r w:rsidR="00A92FC6">
        <w:rPr>
          <w:rFonts w:cstheme="minorHAnsi"/>
          <w:b/>
          <w:lang w:val="en-US"/>
        </w:rPr>
        <w:t>p</w:t>
      </w:r>
      <w:r>
        <w:rPr>
          <w:rFonts w:cstheme="minorHAnsi"/>
          <w:b/>
          <w:lang w:val="en-US"/>
        </w:rPr>
        <w:t xml:space="preserve">roviding </w:t>
      </w:r>
      <w:r w:rsidRPr="00A92FC6" w:rsidR="00A92FC6">
        <w:rPr>
          <w:rFonts w:cstheme="minorHAnsi"/>
          <w:b/>
          <w:lang w:val="en-US"/>
        </w:rPr>
        <w:t xml:space="preserve">early-stage </w:t>
      </w:r>
      <w:r w:rsidRPr="00A92FC6" w:rsidR="00DF41D2">
        <w:rPr>
          <w:rFonts w:cstheme="minorHAnsi"/>
          <w:b/>
          <w:lang w:val="en-US"/>
        </w:rPr>
        <w:t>funding to</w:t>
      </w:r>
      <w:r w:rsidRPr="00A92FC6" w:rsidR="00A92FC6">
        <w:rPr>
          <w:rFonts w:cstheme="minorHAnsi"/>
          <w:b/>
          <w:lang w:val="en-US"/>
        </w:rPr>
        <w:t xml:space="preserve"> MSMEs </w:t>
      </w:r>
      <w:r>
        <w:rPr>
          <w:rFonts w:cstheme="minorHAnsi"/>
          <w:b/>
          <w:lang w:val="en-US"/>
        </w:rPr>
        <w:t>in Colombia</w:t>
      </w:r>
    </w:p>
    <w:p w:rsidR="00E7482A" w:rsidP="00663974" w:rsidRDefault="00872716" w14:paraId="05B671BE" w14:textId="22622CE0">
      <w:pPr>
        <w:jc w:val="both"/>
        <w:rPr>
          <w:rFonts w:ascii="Barlow" w:hAnsi="Barlow" w:cs="Calibri"/>
          <w:sz w:val="22"/>
          <w:szCs w:val="22"/>
          <w:lang w:val="en-US"/>
        </w:rPr>
      </w:pPr>
      <w:r w:rsidRPr="00EA0A65">
        <w:rPr>
          <w:rFonts w:cstheme="minorHAnsi"/>
          <w:b/>
          <w:i/>
          <w:iCs/>
          <w:lang w:val="en-US"/>
        </w:rPr>
        <w:t>Medellin,</w:t>
      </w:r>
      <w:r w:rsidRPr="001D1777">
        <w:rPr>
          <w:rFonts w:cstheme="minorHAnsi"/>
          <w:b/>
          <w:i/>
          <w:iCs/>
          <w:lang w:val="en-US"/>
        </w:rPr>
        <w:t xml:space="preserve"> Colombia</w:t>
      </w:r>
      <w:r w:rsidR="00E9265C">
        <w:rPr>
          <w:rFonts w:cstheme="minorHAnsi"/>
          <w:b/>
          <w:i/>
          <w:iCs/>
          <w:lang w:val="en-US"/>
        </w:rPr>
        <w:t xml:space="preserve"> </w:t>
      </w:r>
      <w:r w:rsidRPr="00E9265C" w:rsidR="00E9265C">
        <w:rPr>
          <w:rFonts w:cstheme="minorHAnsi"/>
          <w:bCs/>
          <w:lang w:val="en-US"/>
        </w:rPr>
        <w:t>-</w:t>
      </w:r>
      <w:r w:rsidRPr="000E59AD">
        <w:rPr>
          <w:rFonts w:cstheme="minorHAnsi"/>
          <w:b/>
          <w:lang w:val="en-US"/>
        </w:rPr>
        <w:t xml:space="preserve"> </w:t>
      </w:r>
      <w:r w:rsidRPr="00EA0A65" w:rsidR="00CB6E8E">
        <w:rPr>
          <w:rFonts w:ascii="Barlow" w:hAnsi="Barlow" w:cs="Calibri"/>
          <w:sz w:val="22"/>
          <w:szCs w:val="22"/>
          <w:lang w:val="en-US"/>
        </w:rPr>
        <w:t xml:space="preserve">AlphaMundi </w:t>
      </w:r>
      <w:r w:rsidRPr="00EA0A65" w:rsidR="003E450A">
        <w:rPr>
          <w:rFonts w:ascii="Barlow" w:hAnsi="Barlow" w:cs="Calibri"/>
          <w:sz w:val="22"/>
          <w:szCs w:val="22"/>
          <w:lang w:val="en-US"/>
        </w:rPr>
        <w:t>Group</w:t>
      </w:r>
      <w:r w:rsidRPr="00EA0A65" w:rsidR="00CB6E8E">
        <w:rPr>
          <w:rFonts w:ascii="Barlow" w:hAnsi="Barlow" w:cs="Calibri"/>
          <w:sz w:val="22"/>
          <w:szCs w:val="22"/>
          <w:lang w:val="en-US"/>
        </w:rPr>
        <w:t xml:space="preserve"> through its SocialAlpha-Bastion Investment Fund (“SAIF”), provided debt financing to Finaktiva, </w:t>
      </w:r>
      <w:r w:rsidRPr="00A5648A" w:rsidR="00721BB0">
        <w:rPr>
          <w:rFonts w:ascii="Barlow" w:hAnsi="Barlow" w:cs="Calibri"/>
          <w:sz w:val="22"/>
          <w:szCs w:val="22"/>
          <w:lang w:val="en-US"/>
        </w:rPr>
        <w:t xml:space="preserve">a financial services company in Colombia that provides funding and assistance to </w:t>
      </w:r>
      <w:r w:rsidR="00613481">
        <w:rPr>
          <w:rFonts w:ascii="Barlow" w:hAnsi="Barlow" w:cs="Calibri"/>
          <w:sz w:val="22"/>
          <w:szCs w:val="22"/>
          <w:lang w:val="en-US"/>
        </w:rPr>
        <w:t>M</w:t>
      </w:r>
      <w:r w:rsidRPr="00A5648A" w:rsidR="00721BB0">
        <w:rPr>
          <w:rFonts w:ascii="Barlow" w:hAnsi="Barlow" w:cs="Calibri"/>
          <w:sz w:val="22"/>
          <w:szCs w:val="22"/>
          <w:lang w:val="en-US"/>
        </w:rPr>
        <w:t>SMEs within the social and environmental impact sector.</w:t>
      </w:r>
      <w:r w:rsidRPr="00A5648A" w:rsidR="008B202D">
        <w:rPr>
          <w:rFonts w:ascii="Barlow" w:hAnsi="Barlow" w:cs="Calibri"/>
          <w:sz w:val="22"/>
          <w:szCs w:val="22"/>
          <w:lang w:val="en-US"/>
        </w:rPr>
        <w:t xml:space="preserve"> </w:t>
      </w:r>
      <w:r w:rsidRPr="00451AFD" w:rsidR="00451AFD">
        <w:rPr>
          <w:rFonts w:ascii="Barlow" w:hAnsi="Barlow" w:cs="Calibri"/>
          <w:sz w:val="22"/>
          <w:szCs w:val="22"/>
          <w:lang w:val="en-US"/>
        </w:rPr>
        <w:t xml:space="preserve">The funds received will be </w:t>
      </w:r>
      <w:r w:rsidR="00EB5CBA">
        <w:rPr>
          <w:rFonts w:ascii="Barlow" w:hAnsi="Barlow" w:cs="Calibri"/>
          <w:sz w:val="22"/>
          <w:szCs w:val="22"/>
          <w:lang w:val="en-US"/>
        </w:rPr>
        <w:t>used</w:t>
      </w:r>
      <w:r w:rsidRPr="00451AFD" w:rsidR="00EB5CBA">
        <w:rPr>
          <w:rFonts w:ascii="Barlow" w:hAnsi="Barlow" w:cs="Calibri"/>
          <w:sz w:val="22"/>
          <w:szCs w:val="22"/>
          <w:lang w:val="en-US"/>
        </w:rPr>
        <w:t xml:space="preserve"> </w:t>
      </w:r>
      <w:r w:rsidRPr="00451AFD" w:rsidR="00451AFD">
        <w:rPr>
          <w:rFonts w:ascii="Barlow" w:hAnsi="Barlow" w:cs="Calibri"/>
          <w:sz w:val="22"/>
          <w:szCs w:val="22"/>
          <w:lang w:val="en-US"/>
        </w:rPr>
        <w:t>to issue new loans to</w:t>
      </w:r>
      <w:r w:rsidR="001106BC">
        <w:rPr>
          <w:rFonts w:ascii="Barlow" w:hAnsi="Barlow" w:cs="Calibri"/>
          <w:sz w:val="22"/>
          <w:szCs w:val="22"/>
          <w:lang w:val="en-US"/>
        </w:rPr>
        <w:t xml:space="preserve"> micro,</w:t>
      </w:r>
      <w:r w:rsidRPr="00451AFD" w:rsidR="00451AFD">
        <w:rPr>
          <w:rFonts w:ascii="Barlow" w:hAnsi="Barlow" w:cs="Calibri"/>
          <w:sz w:val="22"/>
          <w:szCs w:val="22"/>
          <w:lang w:val="en-US"/>
        </w:rPr>
        <w:t xml:space="preserve"> small and medium enterprises (</w:t>
      </w:r>
      <w:r w:rsidR="009A42F5">
        <w:rPr>
          <w:rFonts w:ascii="Barlow" w:hAnsi="Barlow" w:cs="Calibri"/>
          <w:sz w:val="22"/>
          <w:szCs w:val="22"/>
          <w:lang w:val="en-US"/>
        </w:rPr>
        <w:t>M</w:t>
      </w:r>
      <w:r w:rsidRPr="00451AFD" w:rsidR="00451AFD">
        <w:rPr>
          <w:rFonts w:ascii="Barlow" w:hAnsi="Barlow" w:cs="Calibri"/>
          <w:sz w:val="22"/>
          <w:szCs w:val="22"/>
          <w:lang w:val="en-US"/>
        </w:rPr>
        <w:t xml:space="preserve">SMEs), thereby fostering business growth, supporting economic development, and enhancing job creation in </w:t>
      </w:r>
      <w:r w:rsidR="009A42F5">
        <w:rPr>
          <w:rFonts w:ascii="Barlow" w:hAnsi="Barlow" w:cs="Calibri"/>
          <w:sz w:val="22"/>
          <w:szCs w:val="22"/>
          <w:lang w:val="en-US"/>
        </w:rPr>
        <w:t>the</w:t>
      </w:r>
      <w:r w:rsidRPr="00451AFD" w:rsidR="00451AFD">
        <w:rPr>
          <w:rFonts w:ascii="Barlow" w:hAnsi="Barlow" w:cs="Calibri"/>
          <w:sz w:val="22"/>
          <w:szCs w:val="22"/>
          <w:lang w:val="en-US"/>
        </w:rPr>
        <w:t xml:space="preserve"> community.</w:t>
      </w:r>
    </w:p>
    <w:p w:rsidRPr="00EA0A65" w:rsidR="00FA2CB0" w:rsidP="00A5648A" w:rsidRDefault="00FA2CB0" w14:paraId="7AF21B45" w14:textId="6DBD617B">
      <w:pPr>
        <w:jc w:val="both"/>
        <w:rPr>
          <w:rFonts w:ascii="Barlow" w:hAnsi="Barlow" w:cs="Calibri"/>
          <w:sz w:val="22"/>
          <w:szCs w:val="22"/>
          <w:lang w:val="en-US"/>
        </w:rPr>
      </w:pPr>
      <w:r w:rsidRPr="00FA2CB0">
        <w:rPr>
          <w:rFonts w:ascii="Barlow" w:hAnsi="Barlow" w:cs="Calibri"/>
          <w:sz w:val="22"/>
          <w:szCs w:val="22"/>
          <w:lang w:val="en-US"/>
        </w:rPr>
        <w:t xml:space="preserve">The investment aligns with the </w:t>
      </w:r>
      <w:r w:rsidR="001106BC">
        <w:rPr>
          <w:rFonts w:ascii="Barlow" w:hAnsi="Barlow" w:cs="Calibri"/>
          <w:sz w:val="22"/>
          <w:szCs w:val="22"/>
          <w:lang w:val="en-US"/>
        </w:rPr>
        <w:t>SAIF</w:t>
      </w:r>
      <w:r w:rsidRPr="00FA2CB0">
        <w:rPr>
          <w:rFonts w:ascii="Barlow" w:hAnsi="Barlow" w:cs="Calibri"/>
          <w:sz w:val="22"/>
          <w:szCs w:val="22"/>
          <w:lang w:val="en-US"/>
        </w:rPr>
        <w:t xml:space="preserve">’s mission to help </w:t>
      </w:r>
      <w:r w:rsidR="0056780C">
        <w:rPr>
          <w:rFonts w:ascii="Barlow" w:hAnsi="Barlow" w:cs="Calibri"/>
          <w:sz w:val="22"/>
          <w:szCs w:val="22"/>
          <w:lang w:val="en-US"/>
        </w:rPr>
        <w:t>M</w:t>
      </w:r>
      <w:r w:rsidRPr="00FA2CB0">
        <w:rPr>
          <w:rFonts w:ascii="Barlow" w:hAnsi="Barlow" w:cs="Calibri"/>
          <w:sz w:val="22"/>
          <w:szCs w:val="22"/>
          <w:lang w:val="en-US"/>
        </w:rPr>
        <w:t>SMEs overcome challenges in managing their cash flow, obtaining liquidity, and accessing finance, which are critical factors that limit their growth potential</w:t>
      </w:r>
      <w:r w:rsidR="00891562">
        <w:rPr>
          <w:rFonts w:ascii="Barlow" w:hAnsi="Barlow" w:cs="Calibri"/>
          <w:sz w:val="22"/>
          <w:szCs w:val="22"/>
          <w:lang w:val="en-US"/>
        </w:rPr>
        <w:t>.</w:t>
      </w:r>
    </w:p>
    <w:p w:rsidRPr="002E4B2C" w:rsidR="00D64453" w:rsidP="00A5648A" w:rsidRDefault="00E7482A" w14:paraId="107F23E5" w14:textId="2992AC8B">
      <w:pPr>
        <w:jc w:val="both"/>
        <w:rPr>
          <w:rFonts w:cstheme="minorHAnsi"/>
          <w:b/>
          <w:lang w:val="en-US"/>
        </w:rPr>
      </w:pPr>
      <w:r w:rsidRPr="002E4B2C">
        <w:rPr>
          <w:rFonts w:cstheme="minorHAnsi"/>
          <w:b/>
          <w:lang w:val="en-US"/>
        </w:rPr>
        <w:t>QUOTES</w:t>
      </w:r>
    </w:p>
    <w:p w:rsidRPr="00EA0A65" w:rsidR="00DB1A01" w:rsidP="009E592E" w:rsidRDefault="009A66B2" w14:paraId="473A6DBE" w14:textId="42E01C14">
      <w:pPr>
        <w:jc w:val="both"/>
        <w:rPr>
          <w:rFonts w:ascii="Barlow" w:hAnsi="Barlow" w:cs="Calibri"/>
          <w:sz w:val="22"/>
          <w:szCs w:val="22"/>
          <w:lang w:val="en-US"/>
        </w:rPr>
      </w:pPr>
      <w:r w:rsidRPr="00D66B0C">
        <w:rPr>
          <w:rFonts w:ascii="Barlow" w:hAnsi="Barlow" w:cs="Calibri"/>
          <w:sz w:val="22"/>
          <w:szCs w:val="22"/>
          <w:lang w:val="en-US"/>
        </w:rPr>
        <w:t xml:space="preserve">Jose Lozano, </w:t>
      </w:r>
      <w:r w:rsidRPr="00D66B0C" w:rsidR="00142338">
        <w:rPr>
          <w:rFonts w:ascii="Barlow" w:hAnsi="Barlow" w:cs="Calibri"/>
          <w:sz w:val="22"/>
          <w:szCs w:val="22"/>
          <w:lang w:val="en-US"/>
        </w:rPr>
        <w:t>Director at AlphaMundi Latin America</w:t>
      </w:r>
      <w:r w:rsidRPr="00D66B0C" w:rsidR="00D62611">
        <w:rPr>
          <w:rFonts w:ascii="Barlow" w:hAnsi="Barlow" w:cs="Calibri"/>
          <w:sz w:val="22"/>
          <w:szCs w:val="22"/>
          <w:lang w:val="en-US"/>
        </w:rPr>
        <w:t>, said:”</w:t>
      </w:r>
      <w:r w:rsidRPr="00D66B0C" w:rsidR="009E592E">
        <w:rPr>
          <w:lang w:val="en-US"/>
        </w:rPr>
        <w:t xml:space="preserve"> </w:t>
      </w:r>
      <w:r w:rsidRPr="00D66B0C" w:rsidR="009E592E">
        <w:rPr>
          <w:rFonts w:ascii="Barlow" w:hAnsi="Barlow" w:cs="Calibri"/>
          <w:i/>
          <w:iCs/>
          <w:sz w:val="22"/>
          <w:szCs w:val="22"/>
          <w:lang w:val="en-US"/>
        </w:rPr>
        <w:t xml:space="preserve">Since we first got to know Finaktiva, </w:t>
      </w:r>
      <w:r w:rsidRPr="00D66B0C" w:rsidR="00D66B0C">
        <w:rPr>
          <w:rFonts w:ascii="Barlow" w:hAnsi="Barlow" w:cs="Calibri"/>
          <w:i/>
          <w:iCs/>
          <w:sz w:val="22"/>
          <w:szCs w:val="22"/>
          <w:lang w:val="en-US"/>
        </w:rPr>
        <w:t xml:space="preserve">its </w:t>
      </w:r>
      <w:r w:rsidRPr="00D66B0C" w:rsidR="009E592E">
        <w:rPr>
          <w:rFonts w:ascii="Barlow" w:hAnsi="Barlow" w:cs="Calibri"/>
          <w:i/>
          <w:iCs/>
          <w:sz w:val="22"/>
          <w:szCs w:val="22"/>
          <w:lang w:val="en-US"/>
        </w:rPr>
        <w:t xml:space="preserve">team, </w:t>
      </w:r>
      <w:r w:rsidRPr="00D66B0C" w:rsidR="00D66B0C">
        <w:rPr>
          <w:rFonts w:ascii="Barlow" w:hAnsi="Barlow" w:cs="Calibri"/>
          <w:i/>
          <w:iCs/>
          <w:sz w:val="22"/>
          <w:szCs w:val="22"/>
          <w:lang w:val="en-US"/>
        </w:rPr>
        <w:t>value proposition and impact</w:t>
      </w:r>
      <w:r w:rsidRPr="00D66B0C" w:rsidR="009E592E">
        <w:rPr>
          <w:rFonts w:ascii="Barlow" w:hAnsi="Barlow" w:cs="Calibri"/>
          <w:i/>
          <w:iCs/>
          <w:sz w:val="22"/>
          <w:szCs w:val="22"/>
          <w:lang w:val="en-US"/>
        </w:rPr>
        <w:t xml:space="preserve">, we were </w:t>
      </w:r>
      <w:r w:rsidRPr="00D66B0C" w:rsidR="00816810">
        <w:rPr>
          <w:rFonts w:ascii="Barlow" w:hAnsi="Barlow" w:cs="Calibri"/>
          <w:i/>
          <w:iCs/>
          <w:sz w:val="22"/>
          <w:szCs w:val="22"/>
          <w:lang w:val="en-US"/>
        </w:rPr>
        <w:t>interested</w:t>
      </w:r>
      <w:r w:rsidRPr="00D66B0C" w:rsidR="009E592E">
        <w:rPr>
          <w:rFonts w:ascii="Barlow" w:hAnsi="Barlow" w:cs="Calibri"/>
          <w:i/>
          <w:iCs/>
          <w:sz w:val="22"/>
          <w:szCs w:val="22"/>
          <w:lang w:val="en-US"/>
        </w:rPr>
        <w:t xml:space="preserve"> in supporting them. Without a doubt, we believe </w:t>
      </w:r>
      <w:r w:rsidRPr="00D66B0C" w:rsidR="00D66B0C">
        <w:rPr>
          <w:rFonts w:ascii="Barlow" w:hAnsi="Barlow" w:cs="Calibri"/>
          <w:i/>
          <w:iCs/>
          <w:sz w:val="22"/>
          <w:szCs w:val="22"/>
          <w:lang w:val="en-US"/>
        </w:rPr>
        <w:t>Finaktiva is</w:t>
      </w:r>
      <w:r w:rsidRPr="00D66B0C" w:rsidR="009E592E">
        <w:rPr>
          <w:rFonts w:ascii="Barlow" w:hAnsi="Barlow" w:cs="Calibri"/>
          <w:i/>
          <w:iCs/>
          <w:sz w:val="22"/>
          <w:szCs w:val="22"/>
          <w:lang w:val="en-US"/>
        </w:rPr>
        <w:t xml:space="preserve"> an </w:t>
      </w:r>
      <w:r w:rsidRPr="00D66B0C" w:rsidR="00D66B0C">
        <w:rPr>
          <w:rFonts w:ascii="Barlow" w:hAnsi="Barlow" w:cs="Calibri"/>
          <w:i/>
          <w:iCs/>
          <w:sz w:val="22"/>
          <w:szCs w:val="22"/>
          <w:lang w:val="en-US"/>
        </w:rPr>
        <w:t xml:space="preserve">outstanding </w:t>
      </w:r>
      <w:r w:rsidRPr="00D66B0C" w:rsidR="009E592E">
        <w:rPr>
          <w:rFonts w:ascii="Barlow" w:hAnsi="Barlow" w:cs="Calibri"/>
          <w:i/>
          <w:iCs/>
          <w:sz w:val="22"/>
          <w:szCs w:val="22"/>
          <w:lang w:val="en-US"/>
        </w:rPr>
        <w:t>company with strong financial performance, robust corporate governance, and a significant impact on MSMEs</w:t>
      </w:r>
      <w:r w:rsidRPr="00D66B0C" w:rsidR="00D66B0C">
        <w:rPr>
          <w:rFonts w:ascii="Barlow" w:hAnsi="Barlow" w:cs="Calibri"/>
          <w:i/>
          <w:iCs/>
          <w:sz w:val="22"/>
          <w:szCs w:val="22"/>
          <w:lang w:val="en-US"/>
        </w:rPr>
        <w:t>. The company will add</w:t>
      </w:r>
      <w:r w:rsidRPr="00D66B0C" w:rsidR="009E592E">
        <w:rPr>
          <w:rFonts w:ascii="Barlow" w:hAnsi="Barlow" w:cs="Calibri"/>
          <w:i/>
          <w:iCs/>
          <w:sz w:val="22"/>
          <w:szCs w:val="22"/>
          <w:lang w:val="en-US"/>
        </w:rPr>
        <w:t xml:space="preserve"> considerable value to our impact </w:t>
      </w:r>
      <w:r w:rsidRPr="00D66B0C" w:rsidR="003E450A">
        <w:rPr>
          <w:rFonts w:ascii="Barlow" w:hAnsi="Barlow" w:cs="Calibri"/>
          <w:i/>
          <w:iCs/>
          <w:sz w:val="22"/>
          <w:szCs w:val="22"/>
          <w:lang w:val="en-US"/>
        </w:rPr>
        <w:t>portfolio.</w:t>
      </w:r>
      <w:r w:rsidRPr="00D66B0C" w:rsidR="00D62611">
        <w:rPr>
          <w:rFonts w:ascii="Barlow" w:hAnsi="Barlow" w:cs="Calibri"/>
          <w:sz w:val="22"/>
          <w:szCs w:val="22"/>
          <w:lang w:val="en-US"/>
        </w:rPr>
        <w:t>”</w:t>
      </w:r>
    </w:p>
    <w:p w:rsidRPr="00EA0A65" w:rsidR="000578D3" w:rsidP="003E450A" w:rsidRDefault="00DB1A01" w14:paraId="25BCB669" w14:textId="6E8F01BF">
      <w:pPr>
        <w:jc w:val="both"/>
        <w:rPr>
          <w:rFonts w:ascii="Barlow" w:hAnsi="Barlow" w:cs="Calibri"/>
          <w:sz w:val="22"/>
          <w:szCs w:val="22"/>
          <w:lang w:val="en-US"/>
        </w:rPr>
      </w:pPr>
      <w:r w:rsidRPr="00FD6CCA">
        <w:rPr>
          <w:rFonts w:ascii="Barlow" w:hAnsi="Barlow" w:cs="Calibri"/>
          <w:sz w:val="22"/>
          <w:szCs w:val="22"/>
          <w:lang w:val="en-US"/>
        </w:rPr>
        <w:t xml:space="preserve">Jorge Leon, CFO at </w:t>
      </w:r>
      <w:proofErr w:type="spellStart"/>
      <w:r w:rsidRPr="00FD6CCA">
        <w:rPr>
          <w:rFonts w:ascii="Barlow" w:hAnsi="Barlow" w:cs="Calibri"/>
          <w:sz w:val="22"/>
          <w:szCs w:val="22"/>
          <w:lang w:val="en-US"/>
        </w:rPr>
        <w:t>F</w:t>
      </w:r>
      <w:r w:rsidRPr="00FD6CCA" w:rsidR="00EF617C">
        <w:rPr>
          <w:rFonts w:ascii="Barlow" w:hAnsi="Barlow" w:cs="Calibri"/>
          <w:sz w:val="22"/>
          <w:szCs w:val="22"/>
          <w:lang w:val="en-US"/>
        </w:rPr>
        <w:t>ina</w:t>
      </w:r>
      <w:r w:rsidRPr="00FD6CCA">
        <w:rPr>
          <w:rFonts w:ascii="Barlow" w:hAnsi="Barlow" w:cs="Calibri"/>
          <w:sz w:val="22"/>
          <w:szCs w:val="22"/>
          <w:lang w:val="en-US"/>
        </w:rPr>
        <w:t>ktiva</w:t>
      </w:r>
      <w:proofErr w:type="spellEnd"/>
      <w:r w:rsidRPr="00FD6CCA">
        <w:rPr>
          <w:rFonts w:ascii="Barlow" w:hAnsi="Barlow" w:cs="Calibri"/>
          <w:sz w:val="22"/>
          <w:szCs w:val="22"/>
          <w:lang w:val="en-US"/>
        </w:rPr>
        <w:t>, mentioned:</w:t>
      </w:r>
      <w:r w:rsidRPr="00FD6CCA" w:rsidR="00FD6CCA">
        <w:rPr>
          <w:rFonts w:ascii="Barlow" w:hAnsi="Barlow" w:cs="Calibri"/>
          <w:sz w:val="22"/>
          <w:szCs w:val="22"/>
          <w:lang w:val="en-US"/>
        </w:rPr>
        <w:t xml:space="preserve"> </w:t>
      </w:r>
      <w:r w:rsidRPr="00FD6CCA">
        <w:rPr>
          <w:rFonts w:ascii="Barlow" w:hAnsi="Barlow" w:cs="Calibri"/>
          <w:sz w:val="22"/>
          <w:szCs w:val="22"/>
          <w:lang w:val="en-US"/>
        </w:rPr>
        <w:t>”</w:t>
      </w:r>
      <w:r w:rsidRPr="00FD6CCA" w:rsidR="00734A1B">
        <w:rPr>
          <w:rFonts w:ascii="Barlow" w:hAnsi="Barlow" w:cs="Calibri"/>
          <w:i/>
          <w:iCs/>
          <w:sz w:val="22"/>
          <w:szCs w:val="22"/>
          <w:lang w:val="en-US"/>
        </w:rPr>
        <w:t xml:space="preserve">As CFO, securing financing from AlphaMundi marks a significant milestone in our journey towards sustainable growth. This partnership not only validates our mission but also empowers us to scale our impact and drive innovation in our industry. We are grateful for </w:t>
      </w:r>
      <w:proofErr w:type="spellStart"/>
      <w:r w:rsidRPr="00FD6CCA" w:rsidR="003E450A">
        <w:rPr>
          <w:rFonts w:ascii="Barlow" w:hAnsi="Barlow" w:cs="Calibri"/>
          <w:i/>
          <w:iCs/>
          <w:sz w:val="22"/>
          <w:szCs w:val="22"/>
          <w:lang w:val="en-US"/>
        </w:rPr>
        <w:t>AlphaMundi</w:t>
      </w:r>
      <w:r w:rsidRPr="00FD6CCA" w:rsidR="00BB375C">
        <w:rPr>
          <w:rFonts w:ascii="Barlow" w:hAnsi="Barlow" w:cs="Calibri"/>
          <w:i/>
          <w:iCs/>
          <w:sz w:val="22"/>
          <w:szCs w:val="22"/>
          <w:lang w:val="en-US"/>
        </w:rPr>
        <w:t>’s</w:t>
      </w:r>
      <w:proofErr w:type="spellEnd"/>
      <w:r w:rsidRPr="00FD6CCA" w:rsidR="00734A1B">
        <w:rPr>
          <w:rFonts w:ascii="Barlow" w:hAnsi="Barlow" w:cs="Calibri"/>
          <w:i/>
          <w:iCs/>
          <w:sz w:val="22"/>
          <w:szCs w:val="22"/>
          <w:lang w:val="en-US"/>
        </w:rPr>
        <w:t xml:space="preserve"> support and confidence in our vision</w:t>
      </w:r>
      <w:r w:rsidRPr="00FD6CCA" w:rsidR="00734A1B">
        <w:rPr>
          <w:rFonts w:ascii="Barlow" w:hAnsi="Barlow" w:cs="Calibri"/>
          <w:sz w:val="22"/>
          <w:szCs w:val="22"/>
          <w:lang w:val="en-US"/>
        </w:rPr>
        <w:t>.</w:t>
      </w:r>
      <w:r w:rsidRPr="00FD6CCA">
        <w:rPr>
          <w:rFonts w:ascii="Barlow" w:hAnsi="Barlow" w:cs="Calibri"/>
          <w:sz w:val="22"/>
          <w:szCs w:val="22"/>
          <w:lang w:val="en-US"/>
        </w:rPr>
        <w:t>”</w:t>
      </w:r>
    </w:p>
    <w:p w:rsidRPr="002E4B2C" w:rsidR="000578D3" w:rsidP="000578D3" w:rsidRDefault="000578D3" w14:paraId="6EDFCBDD" w14:textId="30B9C5EC">
      <w:pPr>
        <w:jc w:val="both"/>
        <w:rPr>
          <w:rFonts w:cstheme="minorHAnsi"/>
          <w:b/>
          <w:lang w:val="en-US"/>
        </w:rPr>
      </w:pPr>
      <w:r w:rsidRPr="002E4B2C">
        <w:rPr>
          <w:rFonts w:cstheme="minorHAnsi"/>
          <w:b/>
          <w:lang w:val="en-US"/>
        </w:rPr>
        <w:t xml:space="preserve">About Finaktiva </w:t>
      </w:r>
    </w:p>
    <w:p w:rsidR="00F3789D" w:rsidP="004E4550" w:rsidRDefault="002D10A6" w14:paraId="5716FE49" w14:textId="080C4C20">
      <w:pPr>
        <w:jc w:val="both"/>
        <w:rPr>
          <w:rFonts w:ascii="Barlow" w:hAnsi="Barlow" w:cs="Calibri"/>
          <w:sz w:val="22"/>
          <w:szCs w:val="22"/>
          <w:lang w:val="en-US"/>
        </w:rPr>
      </w:pPr>
      <w:r w:rsidRPr="002D10A6">
        <w:rPr>
          <w:rFonts w:ascii="Barlow" w:hAnsi="Barlow" w:cs="Calibri"/>
          <w:sz w:val="22"/>
          <w:szCs w:val="22"/>
          <w:lang w:val="en-US"/>
        </w:rPr>
        <w:t>Founded in 2017, Finaktiva is a Colombian fintech company delivering financial and tech solutions to micro, small, and medium enterprises (MSMEs), as well as corporations and financial institutions. Since its inception, Finaktiva has facilitated USD 5.0 billion in funding through 900,000 transactions, benefiting over 10,000 MSMEs across Colombia. Notably, 30% of these businesses were women-led, and 27% were first-time borrowers gaining access to formal credit.</w:t>
      </w:r>
    </w:p>
    <w:p w:rsidR="004C7F6B" w:rsidP="004E4550" w:rsidRDefault="004C7F6B" w14:paraId="6ED6E81F" w14:textId="77777777">
      <w:pPr>
        <w:jc w:val="both"/>
        <w:rPr>
          <w:rFonts w:ascii="Barlow" w:hAnsi="Barlow" w:cs="Calibri"/>
          <w:sz w:val="22"/>
          <w:szCs w:val="22"/>
          <w:lang w:val="en-US"/>
        </w:rPr>
      </w:pPr>
    </w:p>
    <w:p w:rsidR="004C7F6B" w:rsidP="004E4550" w:rsidRDefault="004C7F6B" w14:paraId="28A38A04" w14:textId="77777777">
      <w:pPr>
        <w:jc w:val="both"/>
        <w:rPr>
          <w:rFonts w:ascii="Barlow" w:hAnsi="Barlow" w:cs="Calibri"/>
          <w:sz w:val="22"/>
          <w:szCs w:val="22"/>
          <w:lang w:val="en-US"/>
        </w:rPr>
      </w:pPr>
    </w:p>
    <w:p w:rsidR="009E592E" w:rsidP="004E4550" w:rsidRDefault="009E592E" w14:paraId="15C70061" w14:textId="77777777">
      <w:pPr>
        <w:jc w:val="both"/>
        <w:rPr>
          <w:rFonts w:cstheme="minorHAnsi"/>
          <w:b/>
          <w:lang w:val="en-US"/>
        </w:rPr>
      </w:pPr>
    </w:p>
    <w:p w:rsidRPr="002E4B2C" w:rsidR="004E4550" w:rsidP="004E4550" w:rsidRDefault="004E4550" w14:paraId="09B31CD3" w14:textId="7924D9DE">
      <w:pPr>
        <w:jc w:val="both"/>
        <w:rPr>
          <w:rFonts w:cstheme="minorHAnsi"/>
          <w:b/>
          <w:lang w:val="en-US"/>
        </w:rPr>
      </w:pPr>
      <w:r w:rsidRPr="002E4B2C">
        <w:rPr>
          <w:rFonts w:cstheme="minorHAnsi"/>
          <w:b/>
          <w:lang w:val="en-US"/>
        </w:rPr>
        <w:t>About AlphaMundi Group Ltd</w:t>
      </w:r>
    </w:p>
    <w:p w:rsidRPr="002D10A6" w:rsidR="002D10A6" w:rsidP="48B6ED04" w:rsidRDefault="002D10A6" w14:paraId="40B371B0" w14:textId="7AF123CB">
      <w:pPr>
        <w:jc w:val="both"/>
        <w:rPr>
          <w:rFonts w:cs="Barlow" w:cstheme="minorAscii"/>
          <w:sz w:val="22"/>
          <w:szCs w:val="22"/>
          <w:lang w:val="en-US"/>
        </w:rPr>
      </w:pPr>
      <w:bookmarkStart w:name="_Hlk175246832" w:id="0"/>
      <w:proofErr w:type="spellStart"/>
      <w:r w:rsidRPr="48B6ED04" w:rsidR="48B6ED04">
        <w:rPr>
          <w:rFonts w:cs="Barlow" w:cstheme="minorAscii"/>
          <w:sz w:val="22"/>
          <w:szCs w:val="22"/>
          <w:lang w:val="en-US"/>
        </w:rPr>
        <w:t>AlphaMundi</w:t>
      </w:r>
      <w:proofErr w:type="spellEnd"/>
      <w:r w:rsidRPr="48B6ED04" w:rsidR="48B6ED04">
        <w:rPr>
          <w:rFonts w:cs="Barlow" w:cstheme="minorAscii"/>
          <w:sz w:val="22"/>
          <w:szCs w:val="22"/>
          <w:lang w:val="en-US"/>
        </w:rPr>
        <w:t xml:space="preserve"> is an advisory firm dedicated to impact investing, with headquarters in Geneva and offices in Nairobi and Bogotá. The firm’s mission is to reduce poverty and preserve the environment in developing countries by investing in ventures that tackle global challenges in sustainable food, agriculture, renewable energy, and financial inclusion. Since 2009, </w:t>
      </w:r>
      <w:proofErr w:type="spellStart"/>
      <w:r w:rsidRPr="48B6ED04" w:rsidR="48B6ED04">
        <w:rPr>
          <w:rFonts w:cs="Barlow" w:cstheme="minorAscii"/>
          <w:sz w:val="22"/>
          <w:szCs w:val="22"/>
          <w:lang w:val="en-US"/>
        </w:rPr>
        <w:t>AlphaMundi</w:t>
      </w:r>
      <w:proofErr w:type="spellEnd"/>
      <w:r w:rsidRPr="48B6ED04" w:rsidR="48B6ED04">
        <w:rPr>
          <w:rFonts w:cs="Barlow" w:cstheme="minorAscii"/>
          <w:sz w:val="22"/>
          <w:szCs w:val="22"/>
          <w:lang w:val="en-US"/>
        </w:rPr>
        <w:t xml:space="preserve"> has invested USD 126M in 64 impact ventures across Latin America and Africa through its </w:t>
      </w:r>
      <w:proofErr w:type="spellStart"/>
      <w:r w:rsidRPr="48B6ED04" w:rsidR="48B6ED04">
        <w:rPr>
          <w:rFonts w:cs="Barlow" w:cstheme="minorAscii"/>
          <w:sz w:val="22"/>
          <w:szCs w:val="22"/>
          <w:lang w:val="en-US"/>
        </w:rPr>
        <w:t>SocialAlpha</w:t>
      </w:r>
      <w:proofErr w:type="spellEnd"/>
      <w:r w:rsidRPr="48B6ED04" w:rsidR="48B6ED04">
        <w:rPr>
          <w:rFonts w:cs="Barlow" w:cstheme="minorAscii"/>
          <w:sz w:val="22"/>
          <w:szCs w:val="22"/>
          <w:lang w:val="en-US"/>
        </w:rPr>
        <w:t xml:space="preserve"> and </w:t>
      </w:r>
      <w:proofErr w:type="spellStart"/>
      <w:r w:rsidRPr="48B6ED04" w:rsidR="48B6ED04">
        <w:rPr>
          <w:rFonts w:cs="Barlow" w:cstheme="minorAscii"/>
          <w:sz w:val="22"/>
          <w:szCs w:val="22"/>
          <w:lang w:val="en-US"/>
        </w:rPr>
        <w:t>AlphaJiri</w:t>
      </w:r>
      <w:proofErr w:type="spellEnd"/>
      <w:r w:rsidRPr="48B6ED04" w:rsidR="48B6ED04">
        <w:rPr>
          <w:rFonts w:cs="Barlow" w:cstheme="minorAscii"/>
          <w:sz w:val="22"/>
          <w:szCs w:val="22"/>
          <w:lang w:val="en-US"/>
        </w:rPr>
        <w:t xml:space="preserve"> funds, conducting 321 debt and equity transactions.</w:t>
      </w:r>
      <w:r w:rsidRPr="48B6ED04" w:rsidR="48B6ED04">
        <w:rPr>
          <w:rFonts w:cs="Barlow" w:cstheme="minorAscii"/>
          <w:sz w:val="22"/>
          <w:szCs w:val="22"/>
          <w:lang w:val="en-US"/>
        </w:rPr>
        <w:t xml:space="preserve"> </w:t>
      </w:r>
      <w:proofErr w:type="spellStart"/>
      <w:r w:rsidRPr="48B6ED04" w:rsidR="48B6ED04">
        <w:rPr>
          <w:rFonts w:cs="Barlow" w:cstheme="minorAscii"/>
          <w:sz w:val="22"/>
          <w:szCs w:val="22"/>
          <w:lang w:val="en-US"/>
        </w:rPr>
        <w:t>AlphaMundi</w:t>
      </w:r>
      <w:proofErr w:type="spellEnd"/>
      <w:r w:rsidRPr="48B6ED04" w:rsidR="48B6ED04">
        <w:rPr>
          <w:rFonts w:cs="Barlow" w:cstheme="minorAscii"/>
          <w:sz w:val="22"/>
          <w:szCs w:val="22"/>
          <w:lang w:val="en-US"/>
        </w:rPr>
        <w:t xml:space="preserve"> portfolio companies have positively impacted over 10 million low-income beneficiaries, predominantly in rural areas, with 40% being women.</w:t>
      </w:r>
    </w:p>
    <w:p w:rsidRPr="00EA0A65" w:rsidR="004E4550" w:rsidP="000578D3" w:rsidRDefault="002D10A6" w14:paraId="1620F712" w14:textId="7A061F49">
      <w:pPr>
        <w:jc w:val="both"/>
        <w:rPr>
          <w:rFonts w:ascii="Barlow" w:hAnsi="Barlow" w:cs="Calibri"/>
          <w:b/>
          <w:bCs/>
          <w:color w:val="949C50" w:themeColor="accent2"/>
          <w:sz w:val="22"/>
          <w:szCs w:val="22"/>
          <w:lang w:val="en-US"/>
        </w:rPr>
      </w:pPr>
      <w:proofErr w:type="spellStart"/>
      <w:r w:rsidRPr="002D10A6">
        <w:rPr>
          <w:rFonts w:cstheme="minorHAnsi"/>
          <w:sz w:val="22"/>
          <w:szCs w:val="22"/>
          <w:lang w:val="en-US"/>
        </w:rPr>
        <w:t>AlphaMundi</w:t>
      </w:r>
      <w:proofErr w:type="spellEnd"/>
      <w:r w:rsidRPr="002D10A6">
        <w:rPr>
          <w:rFonts w:cstheme="minorHAnsi"/>
          <w:sz w:val="22"/>
          <w:szCs w:val="22"/>
          <w:lang w:val="en-US"/>
        </w:rPr>
        <w:t xml:space="preserve"> also supports sustainable development through the </w:t>
      </w:r>
      <w:proofErr w:type="spellStart"/>
      <w:r w:rsidRPr="002D10A6">
        <w:rPr>
          <w:rFonts w:cstheme="minorHAnsi"/>
          <w:sz w:val="22"/>
          <w:szCs w:val="22"/>
          <w:lang w:val="en-US"/>
        </w:rPr>
        <w:t>AlphaMundi</w:t>
      </w:r>
      <w:proofErr w:type="spellEnd"/>
      <w:r w:rsidRPr="002D10A6">
        <w:rPr>
          <w:rFonts w:cstheme="minorHAnsi"/>
          <w:sz w:val="22"/>
          <w:szCs w:val="22"/>
          <w:lang w:val="en-US"/>
        </w:rPr>
        <w:t xml:space="preserve"> Foundation (AMF), which provides technical assistance, impact measurement, and advocacy for Gender Lens Investing. AMF also promotes renewable energy in rural areas and sponsors educational events and publications. Learn more at alphamundigroup.com.</w:t>
      </w:r>
      <w:bookmarkEnd w:id="0"/>
    </w:p>
    <w:sectPr w:rsidRPr="00EA0A65" w:rsidR="004E4550">
      <w:headerReference w:type="default" r:id="rId8"/>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A0F03" w:rsidP="00956D9B" w:rsidRDefault="007A0F03" w14:paraId="7CD9BB10" w14:textId="77777777">
      <w:pPr>
        <w:spacing w:after="0" w:line="240" w:lineRule="auto"/>
      </w:pPr>
      <w:r>
        <w:separator/>
      </w:r>
    </w:p>
  </w:endnote>
  <w:endnote w:type="continuationSeparator" w:id="0">
    <w:p w:rsidR="007A0F03" w:rsidP="00956D9B" w:rsidRDefault="007A0F03" w14:paraId="0530BC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Open Sauce Ligh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A0F03" w:rsidP="00956D9B" w:rsidRDefault="007A0F03" w14:paraId="0709FC7F" w14:textId="77777777">
      <w:pPr>
        <w:spacing w:after="0" w:line="240" w:lineRule="auto"/>
      </w:pPr>
      <w:r>
        <w:separator/>
      </w:r>
    </w:p>
  </w:footnote>
  <w:footnote w:type="continuationSeparator" w:id="0">
    <w:p w:rsidR="007A0F03" w:rsidP="00956D9B" w:rsidRDefault="007A0F03" w14:paraId="14812D0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p w:rsidR="00956D9B" w:rsidRDefault="00C71119" w14:paraId="7204F27C" w14:textId="57C27B09">
    <w:pPr>
      <w:pStyle w:val="Header"/>
    </w:pPr>
    <w:r w:rsidRPr="00163B4E">
      <w:rPr>
        <w:noProof/>
      </w:rPr>
      <w:drawing>
        <wp:anchor distT="0" distB="0" distL="114300" distR="114300" simplePos="0" relativeHeight="251658240" behindDoc="0" locked="0" layoutInCell="1" allowOverlap="1" wp14:anchorId="0F266D0C" wp14:editId="42E432E7">
          <wp:simplePos x="0" y="0"/>
          <wp:positionH relativeFrom="margin">
            <wp:posOffset>4107180</wp:posOffset>
          </wp:positionH>
          <wp:positionV relativeFrom="margin">
            <wp:posOffset>-786130</wp:posOffset>
          </wp:positionV>
          <wp:extent cx="1666240" cy="763905"/>
          <wp:effectExtent l="0" t="0" r="0" b="0"/>
          <wp:wrapSquare wrapText="bothSides"/>
          <wp:docPr id="9" name="Picture 8" descr="A green rectangle with white text&#10;&#10;Description automatically generated">
            <a:extLst xmlns:a="http://schemas.openxmlformats.org/drawingml/2006/main">
              <a:ext uri="{FF2B5EF4-FFF2-40B4-BE49-F238E27FC236}">
                <a16:creationId xmlns:a16="http://schemas.microsoft.com/office/drawing/2014/main" id="{87CCDBD5-A7BC-3628-E772-25AF14CCBF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een rectangle with white text&#10;&#10;Description automatically generated">
                    <a:extLst>
                      <a:ext uri="{FF2B5EF4-FFF2-40B4-BE49-F238E27FC236}">
                        <a16:creationId xmlns:a16="http://schemas.microsoft.com/office/drawing/2014/main" id="{87CCDBD5-A7BC-3628-E772-25AF14CCBF1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66240" cy="763905"/>
                  </a:xfrm>
                  <a:prstGeom prst="rect">
                    <a:avLst/>
                  </a:prstGeom>
                </pic:spPr>
              </pic:pic>
            </a:graphicData>
          </a:graphic>
          <wp14:sizeRelH relativeFrom="margin">
            <wp14:pctWidth>0</wp14:pctWidth>
          </wp14:sizeRelH>
          <wp14:sizeRelV relativeFrom="margin">
            <wp14:pctHeight>0</wp14:pctHeight>
          </wp14:sizeRelV>
        </wp:anchor>
      </w:drawing>
    </w:r>
    <w:r w:rsidRPr="00C71119">
      <w:rPr>
        <w:noProof/>
      </w:rPr>
      <w:drawing>
        <wp:inline distT="0" distB="0" distL="0" distR="0" wp14:anchorId="0BC2A902" wp14:editId="3A838F73">
          <wp:extent cx="1704530" cy="850900"/>
          <wp:effectExtent l="0" t="0" r="0" b="0"/>
          <wp:docPr id="7" name="Imagen 6" descr="Texto&#10;&#10;Descripción generada automáticamente">
            <a:extLst xmlns:a="http://schemas.openxmlformats.org/drawingml/2006/main">
              <a:ext uri="{FF2B5EF4-FFF2-40B4-BE49-F238E27FC236}">
                <a16:creationId xmlns:a16="http://schemas.microsoft.com/office/drawing/2014/main" id="{23679AAD-3957-40A5-ABED-B5A4301C4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Texto&#10;&#10;Descripción generada automáticamente">
                    <a:extLst>
                      <a:ext uri="{FF2B5EF4-FFF2-40B4-BE49-F238E27FC236}">
                        <a16:creationId xmlns:a16="http://schemas.microsoft.com/office/drawing/2014/main" id="{23679AAD-3957-40A5-ABED-B5A4301C429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31913" cy="864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AB6352"/>
    <w:multiLevelType w:val="hybridMultilevel"/>
    <w:tmpl w:val="2DE045F4"/>
    <w:lvl w:ilvl="0" w:tplc="02D4DEDA">
      <w:start w:val="1"/>
      <w:numFmt w:val="bullet"/>
      <w:lvlText w:val=""/>
      <w:lvlJc w:val="left"/>
      <w:pPr>
        <w:tabs>
          <w:tab w:val="num" w:pos="720"/>
        </w:tabs>
        <w:ind w:left="720" w:hanging="360"/>
      </w:pPr>
      <w:rPr>
        <w:rFonts w:hint="default" w:ascii="Wingdings" w:hAnsi="Wingdings"/>
      </w:rPr>
    </w:lvl>
    <w:lvl w:ilvl="1" w:tplc="CF020136" w:tentative="1">
      <w:start w:val="1"/>
      <w:numFmt w:val="bullet"/>
      <w:lvlText w:val=""/>
      <w:lvlJc w:val="left"/>
      <w:pPr>
        <w:tabs>
          <w:tab w:val="num" w:pos="1440"/>
        </w:tabs>
        <w:ind w:left="1440" w:hanging="360"/>
      </w:pPr>
      <w:rPr>
        <w:rFonts w:hint="default" w:ascii="Wingdings" w:hAnsi="Wingdings"/>
      </w:rPr>
    </w:lvl>
    <w:lvl w:ilvl="2" w:tplc="F1C25314" w:tentative="1">
      <w:start w:val="1"/>
      <w:numFmt w:val="bullet"/>
      <w:lvlText w:val=""/>
      <w:lvlJc w:val="left"/>
      <w:pPr>
        <w:tabs>
          <w:tab w:val="num" w:pos="2160"/>
        </w:tabs>
        <w:ind w:left="2160" w:hanging="360"/>
      </w:pPr>
      <w:rPr>
        <w:rFonts w:hint="default" w:ascii="Wingdings" w:hAnsi="Wingdings"/>
      </w:rPr>
    </w:lvl>
    <w:lvl w:ilvl="3" w:tplc="913E5A1E" w:tentative="1">
      <w:start w:val="1"/>
      <w:numFmt w:val="bullet"/>
      <w:lvlText w:val=""/>
      <w:lvlJc w:val="left"/>
      <w:pPr>
        <w:tabs>
          <w:tab w:val="num" w:pos="2880"/>
        </w:tabs>
        <w:ind w:left="2880" w:hanging="360"/>
      </w:pPr>
      <w:rPr>
        <w:rFonts w:hint="default" w:ascii="Wingdings" w:hAnsi="Wingdings"/>
      </w:rPr>
    </w:lvl>
    <w:lvl w:ilvl="4" w:tplc="A656B590" w:tentative="1">
      <w:start w:val="1"/>
      <w:numFmt w:val="bullet"/>
      <w:lvlText w:val=""/>
      <w:lvlJc w:val="left"/>
      <w:pPr>
        <w:tabs>
          <w:tab w:val="num" w:pos="3600"/>
        </w:tabs>
        <w:ind w:left="3600" w:hanging="360"/>
      </w:pPr>
      <w:rPr>
        <w:rFonts w:hint="default" w:ascii="Wingdings" w:hAnsi="Wingdings"/>
      </w:rPr>
    </w:lvl>
    <w:lvl w:ilvl="5" w:tplc="0E8A03AC" w:tentative="1">
      <w:start w:val="1"/>
      <w:numFmt w:val="bullet"/>
      <w:lvlText w:val=""/>
      <w:lvlJc w:val="left"/>
      <w:pPr>
        <w:tabs>
          <w:tab w:val="num" w:pos="4320"/>
        </w:tabs>
        <w:ind w:left="4320" w:hanging="360"/>
      </w:pPr>
      <w:rPr>
        <w:rFonts w:hint="default" w:ascii="Wingdings" w:hAnsi="Wingdings"/>
      </w:rPr>
    </w:lvl>
    <w:lvl w:ilvl="6" w:tplc="3D681EAC" w:tentative="1">
      <w:start w:val="1"/>
      <w:numFmt w:val="bullet"/>
      <w:lvlText w:val=""/>
      <w:lvlJc w:val="left"/>
      <w:pPr>
        <w:tabs>
          <w:tab w:val="num" w:pos="5040"/>
        </w:tabs>
        <w:ind w:left="5040" w:hanging="360"/>
      </w:pPr>
      <w:rPr>
        <w:rFonts w:hint="default" w:ascii="Wingdings" w:hAnsi="Wingdings"/>
      </w:rPr>
    </w:lvl>
    <w:lvl w:ilvl="7" w:tplc="02CC95B4" w:tentative="1">
      <w:start w:val="1"/>
      <w:numFmt w:val="bullet"/>
      <w:lvlText w:val=""/>
      <w:lvlJc w:val="left"/>
      <w:pPr>
        <w:tabs>
          <w:tab w:val="num" w:pos="5760"/>
        </w:tabs>
        <w:ind w:left="5760" w:hanging="360"/>
      </w:pPr>
      <w:rPr>
        <w:rFonts w:hint="default" w:ascii="Wingdings" w:hAnsi="Wingdings"/>
      </w:rPr>
    </w:lvl>
    <w:lvl w:ilvl="8" w:tplc="B1F6D848" w:tentative="1">
      <w:start w:val="1"/>
      <w:numFmt w:val="bullet"/>
      <w:lvlText w:val=""/>
      <w:lvlJc w:val="left"/>
      <w:pPr>
        <w:tabs>
          <w:tab w:val="num" w:pos="6480"/>
        </w:tabs>
        <w:ind w:left="6480" w:hanging="360"/>
      </w:pPr>
      <w:rPr>
        <w:rFonts w:hint="default" w:ascii="Wingdings" w:hAnsi="Wingdings"/>
      </w:rPr>
    </w:lvl>
  </w:abstractNum>
  <w:num w:numId="1" w16cid:durableId="2018994516">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tru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C1"/>
    <w:rsid w:val="00053256"/>
    <w:rsid w:val="000578D3"/>
    <w:rsid w:val="00071B89"/>
    <w:rsid w:val="00092CE8"/>
    <w:rsid w:val="000C42C1"/>
    <w:rsid w:val="001106BC"/>
    <w:rsid w:val="0013316D"/>
    <w:rsid w:val="00142338"/>
    <w:rsid w:val="00163B4E"/>
    <w:rsid w:val="001C499A"/>
    <w:rsid w:val="002363CB"/>
    <w:rsid w:val="002459C2"/>
    <w:rsid w:val="00290B3E"/>
    <w:rsid w:val="002D10A6"/>
    <w:rsid w:val="002E4B2C"/>
    <w:rsid w:val="003E450A"/>
    <w:rsid w:val="003E6D98"/>
    <w:rsid w:val="0040358E"/>
    <w:rsid w:val="00451AFD"/>
    <w:rsid w:val="004637D1"/>
    <w:rsid w:val="004C7F6B"/>
    <w:rsid w:val="004E4550"/>
    <w:rsid w:val="00521654"/>
    <w:rsid w:val="0056780C"/>
    <w:rsid w:val="005C003E"/>
    <w:rsid w:val="00613481"/>
    <w:rsid w:val="00617B0F"/>
    <w:rsid w:val="006407A3"/>
    <w:rsid w:val="006612C7"/>
    <w:rsid w:val="00663974"/>
    <w:rsid w:val="006C569E"/>
    <w:rsid w:val="006D240E"/>
    <w:rsid w:val="006F2726"/>
    <w:rsid w:val="00704B75"/>
    <w:rsid w:val="00721BB0"/>
    <w:rsid w:val="007266E3"/>
    <w:rsid w:val="00734A1B"/>
    <w:rsid w:val="00762BA3"/>
    <w:rsid w:val="007A0F03"/>
    <w:rsid w:val="00816810"/>
    <w:rsid w:val="00872716"/>
    <w:rsid w:val="00891562"/>
    <w:rsid w:val="008B202D"/>
    <w:rsid w:val="008C3C09"/>
    <w:rsid w:val="008C7AB5"/>
    <w:rsid w:val="00955D38"/>
    <w:rsid w:val="00956D9B"/>
    <w:rsid w:val="009A42F5"/>
    <w:rsid w:val="009A66B2"/>
    <w:rsid w:val="009E592E"/>
    <w:rsid w:val="00A16334"/>
    <w:rsid w:val="00A5648A"/>
    <w:rsid w:val="00A6085E"/>
    <w:rsid w:val="00A92FC6"/>
    <w:rsid w:val="00B46E7A"/>
    <w:rsid w:val="00B84733"/>
    <w:rsid w:val="00BB375C"/>
    <w:rsid w:val="00BE1661"/>
    <w:rsid w:val="00C05504"/>
    <w:rsid w:val="00C71119"/>
    <w:rsid w:val="00C80672"/>
    <w:rsid w:val="00CA706A"/>
    <w:rsid w:val="00CB6E8E"/>
    <w:rsid w:val="00D46A97"/>
    <w:rsid w:val="00D62611"/>
    <w:rsid w:val="00D64453"/>
    <w:rsid w:val="00D66B0C"/>
    <w:rsid w:val="00DA2DEA"/>
    <w:rsid w:val="00DB1A01"/>
    <w:rsid w:val="00DC04ED"/>
    <w:rsid w:val="00DC0A34"/>
    <w:rsid w:val="00DD407F"/>
    <w:rsid w:val="00DF41D2"/>
    <w:rsid w:val="00E7482A"/>
    <w:rsid w:val="00E9265C"/>
    <w:rsid w:val="00E9628A"/>
    <w:rsid w:val="00EA0A65"/>
    <w:rsid w:val="00EB5CBA"/>
    <w:rsid w:val="00EF38AB"/>
    <w:rsid w:val="00EF617C"/>
    <w:rsid w:val="00F3789D"/>
    <w:rsid w:val="00F63FED"/>
    <w:rsid w:val="00F849EE"/>
    <w:rsid w:val="00F8705F"/>
    <w:rsid w:val="00FA2CB0"/>
    <w:rsid w:val="00FD6CCA"/>
    <w:rsid w:val="48B6ED0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D7FFF"/>
  <w15:chartTrackingRefBased/>
  <w15:docId w15:val="{84D68C8D-5742-4C4F-9E57-F0BB23D7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C42C1"/>
    <w:pPr>
      <w:keepNext/>
      <w:keepLines/>
      <w:spacing w:before="360" w:after="80"/>
      <w:outlineLvl w:val="0"/>
    </w:pPr>
    <w:rPr>
      <w:rFonts w:asciiTheme="majorHAnsi" w:hAnsiTheme="majorHAnsi" w:eastAsiaTheme="majorEastAsia" w:cstheme="majorBidi"/>
      <w:color w:val="33473C" w:themeColor="accent1" w:themeShade="BF"/>
      <w:sz w:val="40"/>
      <w:szCs w:val="40"/>
    </w:rPr>
  </w:style>
  <w:style w:type="paragraph" w:styleId="Heading2">
    <w:name w:val="heading 2"/>
    <w:basedOn w:val="Normal"/>
    <w:next w:val="Normal"/>
    <w:link w:val="Heading2Char"/>
    <w:uiPriority w:val="9"/>
    <w:semiHidden/>
    <w:unhideWhenUsed/>
    <w:qFormat/>
    <w:rsid w:val="000C42C1"/>
    <w:pPr>
      <w:keepNext/>
      <w:keepLines/>
      <w:spacing w:before="160" w:after="80"/>
      <w:outlineLvl w:val="1"/>
    </w:pPr>
    <w:rPr>
      <w:rFonts w:asciiTheme="majorHAnsi" w:hAnsiTheme="majorHAnsi" w:eastAsiaTheme="majorEastAsia" w:cstheme="majorBidi"/>
      <w:color w:val="33473C" w:themeColor="accent1" w:themeShade="BF"/>
      <w:sz w:val="32"/>
      <w:szCs w:val="32"/>
    </w:rPr>
  </w:style>
  <w:style w:type="paragraph" w:styleId="Heading3">
    <w:name w:val="heading 3"/>
    <w:basedOn w:val="Normal"/>
    <w:next w:val="Normal"/>
    <w:link w:val="Heading3Char"/>
    <w:uiPriority w:val="9"/>
    <w:semiHidden/>
    <w:unhideWhenUsed/>
    <w:qFormat/>
    <w:rsid w:val="000C42C1"/>
    <w:pPr>
      <w:keepNext/>
      <w:keepLines/>
      <w:spacing w:before="160" w:after="80"/>
      <w:outlineLvl w:val="2"/>
    </w:pPr>
    <w:rPr>
      <w:rFonts w:eastAsiaTheme="majorEastAsia" w:cstheme="majorBidi"/>
      <w:color w:val="33473C" w:themeColor="accent1" w:themeShade="BF"/>
      <w:sz w:val="28"/>
      <w:szCs w:val="28"/>
    </w:rPr>
  </w:style>
  <w:style w:type="paragraph" w:styleId="Heading4">
    <w:name w:val="heading 4"/>
    <w:basedOn w:val="Normal"/>
    <w:next w:val="Normal"/>
    <w:link w:val="Heading4Char"/>
    <w:uiPriority w:val="9"/>
    <w:semiHidden/>
    <w:unhideWhenUsed/>
    <w:qFormat/>
    <w:rsid w:val="000C42C1"/>
    <w:pPr>
      <w:keepNext/>
      <w:keepLines/>
      <w:spacing w:before="80" w:after="40"/>
      <w:outlineLvl w:val="3"/>
    </w:pPr>
    <w:rPr>
      <w:rFonts w:eastAsiaTheme="majorEastAsia" w:cstheme="majorBidi"/>
      <w:i/>
      <w:iCs/>
      <w:color w:val="33473C" w:themeColor="accent1" w:themeShade="BF"/>
    </w:rPr>
  </w:style>
  <w:style w:type="paragraph" w:styleId="Heading5">
    <w:name w:val="heading 5"/>
    <w:basedOn w:val="Normal"/>
    <w:next w:val="Normal"/>
    <w:link w:val="Heading5Char"/>
    <w:uiPriority w:val="9"/>
    <w:semiHidden/>
    <w:unhideWhenUsed/>
    <w:qFormat/>
    <w:rsid w:val="000C42C1"/>
    <w:pPr>
      <w:keepNext/>
      <w:keepLines/>
      <w:spacing w:before="80" w:after="40"/>
      <w:outlineLvl w:val="4"/>
    </w:pPr>
    <w:rPr>
      <w:rFonts w:eastAsiaTheme="majorEastAsia" w:cstheme="majorBidi"/>
      <w:color w:val="33473C" w:themeColor="accent1" w:themeShade="BF"/>
    </w:rPr>
  </w:style>
  <w:style w:type="paragraph" w:styleId="Heading6">
    <w:name w:val="heading 6"/>
    <w:basedOn w:val="Normal"/>
    <w:next w:val="Normal"/>
    <w:link w:val="Heading6Char"/>
    <w:uiPriority w:val="9"/>
    <w:semiHidden/>
    <w:unhideWhenUsed/>
    <w:qFormat/>
    <w:rsid w:val="000C4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2C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C42C1"/>
    <w:rPr>
      <w:rFonts w:asciiTheme="majorHAnsi" w:hAnsiTheme="majorHAnsi" w:eastAsiaTheme="majorEastAsia" w:cstheme="majorBidi"/>
      <w:color w:val="33473C" w:themeColor="accent1" w:themeShade="BF"/>
      <w:sz w:val="40"/>
      <w:szCs w:val="40"/>
    </w:rPr>
  </w:style>
  <w:style w:type="character" w:styleId="Heading2Char" w:customStyle="1">
    <w:name w:val="Heading 2 Char"/>
    <w:basedOn w:val="DefaultParagraphFont"/>
    <w:link w:val="Heading2"/>
    <w:uiPriority w:val="9"/>
    <w:semiHidden/>
    <w:rsid w:val="000C42C1"/>
    <w:rPr>
      <w:rFonts w:asciiTheme="majorHAnsi" w:hAnsiTheme="majorHAnsi" w:eastAsiaTheme="majorEastAsia" w:cstheme="majorBidi"/>
      <w:color w:val="33473C" w:themeColor="accent1" w:themeShade="BF"/>
      <w:sz w:val="32"/>
      <w:szCs w:val="32"/>
    </w:rPr>
  </w:style>
  <w:style w:type="character" w:styleId="Heading3Char" w:customStyle="1">
    <w:name w:val="Heading 3 Char"/>
    <w:basedOn w:val="DefaultParagraphFont"/>
    <w:link w:val="Heading3"/>
    <w:uiPriority w:val="9"/>
    <w:semiHidden/>
    <w:rsid w:val="000C42C1"/>
    <w:rPr>
      <w:rFonts w:eastAsiaTheme="majorEastAsia" w:cstheme="majorBidi"/>
      <w:color w:val="33473C" w:themeColor="accent1" w:themeShade="BF"/>
      <w:sz w:val="28"/>
      <w:szCs w:val="28"/>
    </w:rPr>
  </w:style>
  <w:style w:type="character" w:styleId="Heading4Char" w:customStyle="1">
    <w:name w:val="Heading 4 Char"/>
    <w:basedOn w:val="DefaultParagraphFont"/>
    <w:link w:val="Heading4"/>
    <w:uiPriority w:val="9"/>
    <w:semiHidden/>
    <w:rsid w:val="000C42C1"/>
    <w:rPr>
      <w:rFonts w:eastAsiaTheme="majorEastAsia" w:cstheme="majorBidi"/>
      <w:i/>
      <w:iCs/>
      <w:color w:val="33473C" w:themeColor="accent1" w:themeShade="BF"/>
    </w:rPr>
  </w:style>
  <w:style w:type="character" w:styleId="Heading5Char" w:customStyle="1">
    <w:name w:val="Heading 5 Char"/>
    <w:basedOn w:val="DefaultParagraphFont"/>
    <w:link w:val="Heading5"/>
    <w:uiPriority w:val="9"/>
    <w:semiHidden/>
    <w:rsid w:val="000C42C1"/>
    <w:rPr>
      <w:rFonts w:eastAsiaTheme="majorEastAsia" w:cstheme="majorBidi"/>
      <w:color w:val="33473C" w:themeColor="accent1" w:themeShade="BF"/>
    </w:rPr>
  </w:style>
  <w:style w:type="character" w:styleId="Heading6Char" w:customStyle="1">
    <w:name w:val="Heading 6 Char"/>
    <w:basedOn w:val="DefaultParagraphFont"/>
    <w:link w:val="Heading6"/>
    <w:uiPriority w:val="9"/>
    <w:semiHidden/>
    <w:rsid w:val="000C42C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C42C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C42C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C42C1"/>
    <w:rPr>
      <w:rFonts w:eastAsiaTheme="majorEastAsia" w:cstheme="majorBidi"/>
      <w:color w:val="272727" w:themeColor="text1" w:themeTint="D8"/>
    </w:rPr>
  </w:style>
  <w:style w:type="paragraph" w:styleId="Title">
    <w:name w:val="Title"/>
    <w:basedOn w:val="Normal"/>
    <w:next w:val="Normal"/>
    <w:link w:val="TitleChar"/>
    <w:uiPriority w:val="10"/>
    <w:qFormat/>
    <w:rsid w:val="000C42C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C42C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C42C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C4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2C1"/>
    <w:pPr>
      <w:spacing w:before="160"/>
      <w:jc w:val="center"/>
    </w:pPr>
    <w:rPr>
      <w:i/>
      <w:iCs/>
      <w:color w:val="404040" w:themeColor="text1" w:themeTint="BF"/>
    </w:rPr>
  </w:style>
  <w:style w:type="character" w:styleId="QuoteChar" w:customStyle="1">
    <w:name w:val="Quote Char"/>
    <w:basedOn w:val="DefaultParagraphFont"/>
    <w:link w:val="Quote"/>
    <w:uiPriority w:val="29"/>
    <w:rsid w:val="000C42C1"/>
    <w:rPr>
      <w:i/>
      <w:iCs/>
      <w:color w:val="404040" w:themeColor="text1" w:themeTint="BF"/>
    </w:rPr>
  </w:style>
  <w:style w:type="paragraph" w:styleId="ListParagraph">
    <w:name w:val="List Paragraph"/>
    <w:basedOn w:val="Normal"/>
    <w:uiPriority w:val="34"/>
    <w:qFormat/>
    <w:rsid w:val="000C42C1"/>
    <w:pPr>
      <w:ind w:left="720"/>
      <w:contextualSpacing/>
    </w:pPr>
  </w:style>
  <w:style w:type="character" w:styleId="IntenseEmphasis">
    <w:name w:val="Intense Emphasis"/>
    <w:basedOn w:val="DefaultParagraphFont"/>
    <w:uiPriority w:val="21"/>
    <w:qFormat/>
    <w:rsid w:val="000C42C1"/>
    <w:rPr>
      <w:i/>
      <w:iCs/>
      <w:color w:val="33473C" w:themeColor="accent1" w:themeShade="BF"/>
    </w:rPr>
  </w:style>
  <w:style w:type="paragraph" w:styleId="IntenseQuote">
    <w:name w:val="Intense Quote"/>
    <w:basedOn w:val="Normal"/>
    <w:next w:val="Normal"/>
    <w:link w:val="IntenseQuoteChar"/>
    <w:uiPriority w:val="30"/>
    <w:qFormat/>
    <w:rsid w:val="000C42C1"/>
    <w:pPr>
      <w:pBdr>
        <w:top w:val="single" w:color="33473C" w:themeColor="accent1" w:themeShade="BF" w:sz="4" w:space="10"/>
        <w:bottom w:val="single" w:color="33473C" w:themeColor="accent1" w:themeShade="BF" w:sz="4" w:space="10"/>
      </w:pBdr>
      <w:spacing w:before="360" w:after="360"/>
      <w:ind w:left="864" w:right="864"/>
      <w:jc w:val="center"/>
    </w:pPr>
    <w:rPr>
      <w:i/>
      <w:iCs/>
      <w:color w:val="33473C" w:themeColor="accent1" w:themeShade="BF"/>
    </w:rPr>
  </w:style>
  <w:style w:type="character" w:styleId="IntenseQuoteChar" w:customStyle="1">
    <w:name w:val="Intense Quote Char"/>
    <w:basedOn w:val="DefaultParagraphFont"/>
    <w:link w:val="IntenseQuote"/>
    <w:uiPriority w:val="30"/>
    <w:rsid w:val="000C42C1"/>
    <w:rPr>
      <w:i/>
      <w:iCs/>
      <w:color w:val="33473C" w:themeColor="accent1" w:themeShade="BF"/>
    </w:rPr>
  </w:style>
  <w:style w:type="character" w:styleId="IntenseReference">
    <w:name w:val="Intense Reference"/>
    <w:basedOn w:val="DefaultParagraphFont"/>
    <w:uiPriority w:val="32"/>
    <w:qFormat/>
    <w:rsid w:val="000C42C1"/>
    <w:rPr>
      <w:b/>
      <w:bCs/>
      <w:smallCaps/>
      <w:color w:val="33473C" w:themeColor="accent1" w:themeShade="BF"/>
      <w:spacing w:val="5"/>
    </w:rPr>
  </w:style>
  <w:style w:type="paragraph" w:styleId="Header">
    <w:name w:val="header"/>
    <w:basedOn w:val="Normal"/>
    <w:link w:val="HeaderChar"/>
    <w:uiPriority w:val="99"/>
    <w:unhideWhenUsed/>
    <w:rsid w:val="00956D9B"/>
    <w:pPr>
      <w:tabs>
        <w:tab w:val="center" w:pos="4419"/>
        <w:tab w:val="right" w:pos="8838"/>
      </w:tabs>
      <w:spacing w:after="0" w:line="240" w:lineRule="auto"/>
    </w:pPr>
  </w:style>
  <w:style w:type="character" w:styleId="HeaderChar" w:customStyle="1">
    <w:name w:val="Header Char"/>
    <w:basedOn w:val="DefaultParagraphFont"/>
    <w:link w:val="Header"/>
    <w:uiPriority w:val="99"/>
    <w:rsid w:val="00956D9B"/>
  </w:style>
  <w:style w:type="paragraph" w:styleId="Footer">
    <w:name w:val="footer"/>
    <w:basedOn w:val="Normal"/>
    <w:link w:val="FooterChar"/>
    <w:uiPriority w:val="99"/>
    <w:unhideWhenUsed/>
    <w:rsid w:val="00956D9B"/>
    <w:pPr>
      <w:tabs>
        <w:tab w:val="center" w:pos="4419"/>
        <w:tab w:val="right" w:pos="8838"/>
      </w:tabs>
      <w:spacing w:after="0" w:line="240" w:lineRule="auto"/>
    </w:pPr>
  </w:style>
  <w:style w:type="character" w:styleId="FooterChar" w:customStyle="1">
    <w:name w:val="Footer Char"/>
    <w:basedOn w:val="DefaultParagraphFont"/>
    <w:link w:val="Footer"/>
    <w:uiPriority w:val="99"/>
    <w:rsid w:val="00956D9B"/>
  </w:style>
  <w:style w:type="paragraph" w:styleId="NormalWeb">
    <w:name w:val="Normal (Web)"/>
    <w:basedOn w:val="Normal"/>
    <w:uiPriority w:val="99"/>
    <w:semiHidden/>
    <w:unhideWhenUsed/>
    <w:rsid w:val="00D64453"/>
    <w:pPr>
      <w:spacing w:before="100" w:beforeAutospacing="1" w:after="100" w:afterAutospacing="1" w:line="240" w:lineRule="auto"/>
    </w:pPr>
    <w:rPr>
      <w:rFonts w:ascii="Times New Roman" w:hAnsi="Times New Roman" w:eastAsia="Times New Roman" w:cs="Times New Roman"/>
      <w:kern w:val="0"/>
      <w:lang w:eastAsia="es-CO"/>
      <w14:ligatures w14:val="none"/>
    </w:rPr>
  </w:style>
  <w:style w:type="paragraph" w:styleId="Texto" w:customStyle="1">
    <w:name w:val="Texto"/>
    <w:link w:val="TextoChar"/>
    <w:qFormat/>
    <w:rsid w:val="00F63FED"/>
    <w:pPr>
      <w:spacing w:line="259" w:lineRule="auto"/>
      <w:jc w:val="both"/>
    </w:pPr>
    <w:rPr>
      <w:sz w:val="22"/>
      <w:szCs w:val="22"/>
      <w:lang w:val="en-GB"/>
    </w:rPr>
  </w:style>
  <w:style w:type="character" w:styleId="TextoChar" w:customStyle="1">
    <w:name w:val="Texto Char"/>
    <w:basedOn w:val="DefaultParagraphFont"/>
    <w:link w:val="Texto"/>
    <w:rsid w:val="00F63FED"/>
    <w:rPr>
      <w:sz w:val="22"/>
      <w:szCs w:val="22"/>
      <w:lang w:val="en-GB"/>
    </w:rPr>
  </w:style>
  <w:style w:type="character" w:styleId="Hyperlink">
    <w:name w:val="Hyperlink"/>
    <w:basedOn w:val="DefaultParagraphFont"/>
    <w:uiPriority w:val="99"/>
    <w:unhideWhenUsed/>
    <w:rsid w:val="00B84733"/>
    <w:rPr>
      <w:color w:val="0000FF" w:themeColor="hyperlink"/>
      <w:u w:val="single"/>
    </w:rPr>
  </w:style>
  <w:style w:type="paragraph" w:styleId="Revision">
    <w:name w:val="Revision"/>
    <w:hidden/>
    <w:uiPriority w:val="99"/>
    <w:semiHidden/>
    <w:rsid w:val="00EB5CBA"/>
    <w:pPr>
      <w:spacing w:after="0" w:line="240" w:lineRule="auto"/>
    </w:pPr>
  </w:style>
  <w:style w:type="character" w:styleId="CommentReference">
    <w:name w:val="annotation reference"/>
    <w:basedOn w:val="DefaultParagraphFont"/>
    <w:uiPriority w:val="99"/>
    <w:semiHidden/>
    <w:unhideWhenUsed/>
    <w:rsid w:val="002D10A6"/>
    <w:rPr>
      <w:sz w:val="16"/>
      <w:szCs w:val="16"/>
    </w:rPr>
  </w:style>
  <w:style w:type="paragraph" w:styleId="CommentText">
    <w:name w:val="annotation text"/>
    <w:basedOn w:val="Normal"/>
    <w:link w:val="CommentTextChar"/>
    <w:uiPriority w:val="99"/>
    <w:unhideWhenUsed/>
    <w:rsid w:val="002D10A6"/>
    <w:pPr>
      <w:spacing w:line="240" w:lineRule="auto"/>
    </w:pPr>
    <w:rPr>
      <w:sz w:val="20"/>
      <w:szCs w:val="20"/>
    </w:rPr>
  </w:style>
  <w:style w:type="character" w:styleId="CommentTextChar" w:customStyle="1">
    <w:name w:val="Comment Text Char"/>
    <w:basedOn w:val="DefaultParagraphFont"/>
    <w:link w:val="CommentText"/>
    <w:uiPriority w:val="99"/>
    <w:rsid w:val="002D10A6"/>
    <w:rPr>
      <w:sz w:val="20"/>
      <w:szCs w:val="20"/>
    </w:rPr>
  </w:style>
  <w:style w:type="paragraph" w:styleId="CommentSubject">
    <w:name w:val="annotation subject"/>
    <w:basedOn w:val="CommentText"/>
    <w:next w:val="CommentText"/>
    <w:link w:val="CommentSubjectChar"/>
    <w:uiPriority w:val="99"/>
    <w:semiHidden/>
    <w:unhideWhenUsed/>
    <w:rsid w:val="002D10A6"/>
    <w:rPr>
      <w:b/>
      <w:bCs/>
    </w:rPr>
  </w:style>
  <w:style w:type="character" w:styleId="CommentSubjectChar" w:customStyle="1">
    <w:name w:val="Comment Subject Char"/>
    <w:basedOn w:val="CommentTextChar"/>
    <w:link w:val="CommentSubject"/>
    <w:uiPriority w:val="99"/>
    <w:semiHidden/>
    <w:rsid w:val="002D10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249688">
      <w:bodyDiv w:val="1"/>
      <w:marLeft w:val="0"/>
      <w:marRight w:val="0"/>
      <w:marTop w:val="0"/>
      <w:marBottom w:val="0"/>
      <w:divBdr>
        <w:top w:val="none" w:sz="0" w:space="0" w:color="auto"/>
        <w:left w:val="none" w:sz="0" w:space="0" w:color="auto"/>
        <w:bottom w:val="none" w:sz="0" w:space="0" w:color="auto"/>
        <w:right w:val="none" w:sz="0" w:space="0" w:color="auto"/>
      </w:divBdr>
    </w:div>
    <w:div w:id="1435855464">
      <w:bodyDiv w:val="1"/>
      <w:marLeft w:val="0"/>
      <w:marRight w:val="0"/>
      <w:marTop w:val="0"/>
      <w:marBottom w:val="0"/>
      <w:divBdr>
        <w:top w:val="none" w:sz="0" w:space="0" w:color="auto"/>
        <w:left w:val="none" w:sz="0" w:space="0" w:color="auto"/>
        <w:bottom w:val="none" w:sz="0" w:space="0" w:color="auto"/>
        <w:right w:val="none" w:sz="0" w:space="0" w:color="auto"/>
      </w:divBdr>
      <w:divsChild>
        <w:div w:id="191384324">
          <w:marLeft w:val="288"/>
          <w:marRight w:val="0"/>
          <w:marTop w:val="0"/>
          <w:marBottom w:val="0"/>
          <w:divBdr>
            <w:top w:val="none" w:sz="0" w:space="0" w:color="auto"/>
            <w:left w:val="none" w:sz="0" w:space="0" w:color="auto"/>
            <w:bottom w:val="none" w:sz="0" w:space="0" w:color="auto"/>
            <w:right w:val="none" w:sz="0" w:space="0" w:color="auto"/>
          </w:divBdr>
        </w:div>
        <w:div w:id="903679482">
          <w:marLeft w:val="288"/>
          <w:marRight w:val="0"/>
          <w:marTop w:val="0"/>
          <w:marBottom w:val="0"/>
          <w:divBdr>
            <w:top w:val="none" w:sz="0" w:space="0" w:color="auto"/>
            <w:left w:val="none" w:sz="0" w:space="0" w:color="auto"/>
            <w:bottom w:val="none" w:sz="0" w:space="0" w:color="auto"/>
            <w:right w:val="none" w:sz="0" w:space="0" w:color="auto"/>
          </w:divBdr>
        </w:div>
        <w:div w:id="656694289">
          <w:marLeft w:val="288"/>
          <w:marRight w:val="0"/>
          <w:marTop w:val="0"/>
          <w:marBottom w:val="0"/>
          <w:divBdr>
            <w:top w:val="none" w:sz="0" w:space="0" w:color="auto"/>
            <w:left w:val="none" w:sz="0" w:space="0" w:color="auto"/>
            <w:bottom w:val="none" w:sz="0" w:space="0" w:color="auto"/>
            <w:right w:val="none" w:sz="0" w:space="0" w:color="auto"/>
          </w:divBdr>
        </w:div>
        <w:div w:id="965626914">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microsoft.com/office/2011/relationships/people" Target="people.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Alpha Latam">
      <a:dk1>
        <a:srgbClr val="000000"/>
      </a:dk1>
      <a:lt1>
        <a:srgbClr val="FFFFFF"/>
      </a:lt1>
      <a:dk2>
        <a:srgbClr val="A7A7A7"/>
      </a:dk2>
      <a:lt2>
        <a:srgbClr val="535353"/>
      </a:lt2>
      <a:accent1>
        <a:srgbClr val="455F51"/>
      </a:accent1>
      <a:accent2>
        <a:srgbClr val="949C50"/>
      </a:accent2>
      <a:accent3>
        <a:srgbClr val="B2CA37"/>
      </a:accent3>
      <a:accent4>
        <a:srgbClr val="029676"/>
      </a:accent4>
      <a:accent5>
        <a:srgbClr val="4AB5C4"/>
      </a:accent5>
      <a:accent6>
        <a:srgbClr val="0989B1"/>
      </a:accent6>
      <a:hlink>
        <a:srgbClr val="0000FF"/>
      </a:hlink>
      <a:folHlink>
        <a:srgbClr val="FF00FF"/>
      </a:folHlink>
    </a:clrScheme>
    <a:fontScheme name="Alpha Latam">
      <a:majorFont>
        <a:latin typeface="Open Sauce Light"/>
        <a:ea typeface=""/>
        <a:cs typeface=""/>
      </a:majorFont>
      <a:minorFont>
        <a:latin typeface="Barl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91AC5-9DED-4010-90C0-29A95BC042B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 Daniela Garcia Navarro</dc:creator>
  <keywords/>
  <dc:description/>
  <lastModifiedBy>Luz Stecca</lastModifiedBy>
  <revision>4</revision>
  <dcterms:created xsi:type="dcterms:W3CDTF">2024-08-29T10:04:00.0000000Z</dcterms:created>
  <dcterms:modified xsi:type="dcterms:W3CDTF">2024-09-18T08:14:19.3307169Z</dcterms:modified>
</coreProperties>
</file>